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7BE" w:rsidRDefault="009D3E1F" w:rsidP="003B25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HT</w:t>
      </w:r>
      <w:r w:rsidR="00E534B9">
        <w:rPr>
          <w:rFonts w:ascii="Arial" w:hAnsi="Arial" w:cs="Arial"/>
          <w:b/>
          <w:sz w:val="20"/>
          <w:szCs w:val="20"/>
        </w:rPr>
        <w:t>M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026B30" w:rsidRPr="00026B30">
        <w:rPr>
          <w:rFonts w:ascii="Arial" w:hAnsi="Arial" w:cs="Arial"/>
          <w:b/>
          <w:sz w:val="20"/>
          <w:szCs w:val="20"/>
        </w:rPr>
        <w:t>Explanation for</w:t>
      </w:r>
      <w:r w:rsidR="00887B6C">
        <w:rPr>
          <w:rFonts w:ascii="Arial" w:hAnsi="Arial" w:cs="Arial"/>
          <w:b/>
          <w:sz w:val="20"/>
          <w:szCs w:val="20"/>
        </w:rPr>
        <w:t xml:space="preserve"> the</w:t>
      </w:r>
      <w:r w:rsidR="00FD2D19">
        <w:rPr>
          <w:rFonts w:ascii="Arial" w:hAnsi="Arial" w:cs="Arial"/>
          <w:b/>
          <w:sz w:val="20"/>
          <w:szCs w:val="20"/>
        </w:rPr>
        <w:t xml:space="preserve"> difference</w:t>
      </w:r>
      <w:r w:rsidR="00831901">
        <w:rPr>
          <w:rFonts w:ascii="Arial" w:hAnsi="Arial" w:cs="Arial"/>
          <w:b/>
          <w:sz w:val="20"/>
          <w:szCs w:val="20"/>
        </w:rPr>
        <w:t xml:space="preserve"> of over 10%</w:t>
      </w:r>
      <w:r w:rsidR="00FD2D19">
        <w:rPr>
          <w:rFonts w:ascii="Arial" w:hAnsi="Arial" w:cs="Arial"/>
          <w:b/>
          <w:sz w:val="20"/>
          <w:szCs w:val="20"/>
        </w:rPr>
        <w:t xml:space="preserve"> in</w:t>
      </w:r>
      <w:r w:rsidR="00C761E0">
        <w:rPr>
          <w:rFonts w:ascii="Arial" w:hAnsi="Arial" w:cs="Arial"/>
          <w:b/>
          <w:sz w:val="20"/>
          <w:szCs w:val="20"/>
        </w:rPr>
        <w:t xml:space="preserve"> the </w:t>
      </w:r>
      <w:r w:rsidR="00A308E4">
        <w:rPr>
          <w:rFonts w:ascii="Arial" w:hAnsi="Arial" w:cs="Arial"/>
          <w:b/>
          <w:sz w:val="20"/>
          <w:szCs w:val="20"/>
        </w:rPr>
        <w:t>after-tax profit</w:t>
      </w:r>
      <w:r w:rsidR="00C761E0">
        <w:rPr>
          <w:rFonts w:ascii="Arial" w:hAnsi="Arial" w:cs="Arial"/>
          <w:b/>
          <w:sz w:val="20"/>
          <w:szCs w:val="20"/>
        </w:rPr>
        <w:t xml:space="preserve"> in</w:t>
      </w:r>
      <w:r w:rsidR="00887B6C">
        <w:rPr>
          <w:rFonts w:ascii="Arial" w:hAnsi="Arial" w:cs="Arial"/>
          <w:b/>
          <w:sz w:val="20"/>
          <w:szCs w:val="20"/>
        </w:rPr>
        <w:t xml:space="preserve"> </w:t>
      </w:r>
      <w:r w:rsidR="00D778AE">
        <w:rPr>
          <w:rFonts w:ascii="Arial" w:hAnsi="Arial" w:cs="Arial"/>
          <w:b/>
          <w:sz w:val="20"/>
          <w:szCs w:val="20"/>
        </w:rPr>
        <w:t>the</w:t>
      </w:r>
      <w:r w:rsidR="007F6A0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separate and consolidated </w:t>
      </w:r>
      <w:r w:rsidR="00F02E19">
        <w:rPr>
          <w:rFonts w:ascii="Arial" w:hAnsi="Arial" w:cs="Arial"/>
          <w:b/>
          <w:sz w:val="20"/>
          <w:szCs w:val="20"/>
        </w:rPr>
        <w:t xml:space="preserve">financial statement </w:t>
      </w:r>
      <w:r w:rsidR="00761E26">
        <w:rPr>
          <w:rFonts w:ascii="Arial" w:hAnsi="Arial" w:cs="Arial"/>
          <w:b/>
          <w:sz w:val="20"/>
          <w:szCs w:val="20"/>
        </w:rPr>
        <w:t xml:space="preserve">of </w:t>
      </w:r>
      <w:r w:rsidR="006F778A">
        <w:rPr>
          <w:rFonts w:ascii="Arial" w:hAnsi="Arial" w:cs="Arial"/>
          <w:b/>
          <w:sz w:val="20"/>
          <w:szCs w:val="20"/>
        </w:rPr>
        <w:t>Q.1/ 2020</w:t>
      </w:r>
      <w:r w:rsidR="006623D8">
        <w:rPr>
          <w:rFonts w:ascii="Arial" w:hAnsi="Arial" w:cs="Arial"/>
          <w:b/>
          <w:sz w:val="20"/>
          <w:szCs w:val="20"/>
        </w:rPr>
        <w:t xml:space="preserve"> </w:t>
      </w:r>
      <w:r w:rsidR="00FD2D19">
        <w:rPr>
          <w:rFonts w:ascii="Arial" w:hAnsi="Arial" w:cs="Arial"/>
          <w:b/>
          <w:sz w:val="20"/>
          <w:szCs w:val="20"/>
        </w:rPr>
        <w:t>year on year</w:t>
      </w:r>
    </w:p>
    <w:p w:rsidR="00A308E4" w:rsidRDefault="00E36A48" w:rsidP="00EA67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E534B9">
        <w:rPr>
          <w:rFonts w:ascii="Arial" w:hAnsi="Arial" w:cs="Arial"/>
          <w:sz w:val="20"/>
          <w:szCs w:val="20"/>
        </w:rPr>
        <w:t>05 May</w:t>
      </w:r>
      <w:r w:rsidR="00A62855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r w:rsidR="00DD507A" w:rsidRPr="00DD507A">
        <w:rPr>
          <w:rFonts w:ascii="Arial" w:hAnsi="Arial" w:cs="Arial"/>
          <w:sz w:val="20"/>
          <w:szCs w:val="20"/>
        </w:rPr>
        <w:t xml:space="preserve">Hanoi Trade Joint Stock Corporation </w:t>
      </w:r>
      <w:r w:rsidR="00026B30">
        <w:rPr>
          <w:rFonts w:ascii="Arial" w:hAnsi="Arial" w:cs="Arial"/>
          <w:sz w:val="20"/>
          <w:szCs w:val="20"/>
        </w:rPr>
        <w:t>explained</w:t>
      </w:r>
      <w:r w:rsidR="00467BC0">
        <w:rPr>
          <w:rFonts w:ascii="Arial" w:hAnsi="Arial" w:cs="Arial"/>
          <w:sz w:val="20"/>
          <w:szCs w:val="20"/>
        </w:rPr>
        <w:t xml:space="preserve"> the</w:t>
      </w:r>
      <w:r w:rsidR="00026B30" w:rsidRPr="00026B30">
        <w:rPr>
          <w:rFonts w:ascii="Arial" w:hAnsi="Arial" w:cs="Arial"/>
          <w:sz w:val="20"/>
          <w:szCs w:val="20"/>
        </w:rPr>
        <w:t xml:space="preserve"> </w:t>
      </w:r>
      <w:r w:rsidR="00D778AE" w:rsidRPr="00D778AE">
        <w:rPr>
          <w:rFonts w:ascii="Arial" w:hAnsi="Arial" w:cs="Arial"/>
          <w:sz w:val="20"/>
          <w:szCs w:val="20"/>
        </w:rPr>
        <w:t>difference</w:t>
      </w:r>
      <w:r w:rsidR="00831901">
        <w:rPr>
          <w:rFonts w:ascii="Arial" w:hAnsi="Arial" w:cs="Arial"/>
          <w:sz w:val="20"/>
          <w:szCs w:val="20"/>
        </w:rPr>
        <w:t xml:space="preserve"> of over 10%</w:t>
      </w:r>
      <w:r w:rsidR="00D778AE" w:rsidRPr="00D778AE">
        <w:rPr>
          <w:rFonts w:ascii="Arial" w:hAnsi="Arial" w:cs="Arial"/>
          <w:sz w:val="20"/>
          <w:szCs w:val="20"/>
        </w:rPr>
        <w:t xml:space="preserve"> in</w:t>
      </w:r>
      <w:r w:rsidR="00C761E0">
        <w:rPr>
          <w:rFonts w:ascii="Arial" w:hAnsi="Arial" w:cs="Arial"/>
          <w:sz w:val="20"/>
          <w:szCs w:val="20"/>
        </w:rPr>
        <w:t xml:space="preserve"> the </w:t>
      </w:r>
      <w:r w:rsidR="00A308E4">
        <w:rPr>
          <w:rFonts w:ascii="Arial" w:hAnsi="Arial" w:cs="Arial"/>
          <w:sz w:val="20"/>
          <w:szCs w:val="20"/>
        </w:rPr>
        <w:t>after-tax profit</w:t>
      </w:r>
      <w:r w:rsidR="00C761E0">
        <w:rPr>
          <w:rFonts w:ascii="Arial" w:hAnsi="Arial" w:cs="Arial"/>
          <w:sz w:val="20"/>
          <w:szCs w:val="20"/>
        </w:rPr>
        <w:t xml:space="preserve"> in</w:t>
      </w:r>
      <w:r w:rsidR="007F6A0E">
        <w:rPr>
          <w:rFonts w:ascii="Arial" w:hAnsi="Arial" w:cs="Arial"/>
          <w:sz w:val="20"/>
          <w:szCs w:val="20"/>
        </w:rPr>
        <w:t xml:space="preserve"> </w:t>
      </w:r>
      <w:r w:rsidR="009D3E1F" w:rsidRPr="009D3E1F">
        <w:rPr>
          <w:rFonts w:ascii="Arial" w:hAnsi="Arial" w:cs="Arial"/>
          <w:sz w:val="20"/>
          <w:szCs w:val="20"/>
        </w:rPr>
        <w:t xml:space="preserve">separate and consolidated </w:t>
      </w:r>
      <w:r w:rsidR="00A16A85">
        <w:rPr>
          <w:rFonts w:ascii="Arial" w:hAnsi="Arial" w:cs="Arial"/>
          <w:sz w:val="20"/>
          <w:szCs w:val="20"/>
        </w:rPr>
        <w:t xml:space="preserve">financial statement </w:t>
      </w:r>
      <w:r w:rsidR="00D778AE">
        <w:rPr>
          <w:rFonts w:ascii="Arial" w:hAnsi="Arial" w:cs="Arial"/>
          <w:sz w:val="20"/>
          <w:szCs w:val="20"/>
        </w:rPr>
        <w:t xml:space="preserve">of </w:t>
      </w:r>
      <w:r w:rsidR="006F778A">
        <w:rPr>
          <w:rFonts w:ascii="Arial" w:hAnsi="Arial" w:cs="Arial"/>
          <w:sz w:val="20"/>
          <w:szCs w:val="20"/>
        </w:rPr>
        <w:t>Q.1/ 2020</w:t>
      </w:r>
      <w:r w:rsidR="00D778AE" w:rsidRPr="00D778AE">
        <w:rPr>
          <w:rFonts w:ascii="Arial" w:hAnsi="Arial" w:cs="Arial"/>
          <w:sz w:val="20"/>
          <w:szCs w:val="20"/>
        </w:rPr>
        <w:t xml:space="preserve"> year on year</w:t>
      </w:r>
      <w:r w:rsidR="00887B6C" w:rsidRPr="00887B6C">
        <w:rPr>
          <w:rFonts w:ascii="Arial" w:hAnsi="Arial" w:cs="Arial"/>
          <w:sz w:val="20"/>
          <w:szCs w:val="20"/>
        </w:rPr>
        <w:t xml:space="preserve"> </w:t>
      </w:r>
      <w:r w:rsidR="00467BC0">
        <w:rPr>
          <w:rFonts w:ascii="Arial" w:hAnsi="Arial" w:cs="Arial"/>
          <w:sz w:val="20"/>
          <w:szCs w:val="20"/>
        </w:rPr>
        <w:t>as follows:</w:t>
      </w:r>
      <w:r w:rsidR="00EA098E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620"/>
        <w:gridCol w:w="1620"/>
        <w:gridCol w:w="1620"/>
        <w:gridCol w:w="1278"/>
      </w:tblGrid>
      <w:tr w:rsidR="00DD507A" w:rsidTr="00EC79EE">
        <w:tc>
          <w:tcPr>
            <w:tcW w:w="3438" w:type="dxa"/>
            <w:vMerge w:val="restart"/>
          </w:tcPr>
          <w:p w:rsidR="00DD507A" w:rsidRDefault="00DD507A" w:rsidP="00EA67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1620" w:type="dxa"/>
            <w:vMerge w:val="restart"/>
          </w:tcPr>
          <w:p w:rsidR="00DD507A" w:rsidRDefault="00DD507A" w:rsidP="00EA67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Q.1/ 2020</w:t>
            </w:r>
          </w:p>
        </w:tc>
        <w:tc>
          <w:tcPr>
            <w:tcW w:w="1620" w:type="dxa"/>
            <w:vMerge w:val="restart"/>
          </w:tcPr>
          <w:p w:rsidR="00DD507A" w:rsidRDefault="00DD507A" w:rsidP="00EA67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Q.1/ 2019</w:t>
            </w:r>
          </w:p>
        </w:tc>
        <w:tc>
          <w:tcPr>
            <w:tcW w:w="2898" w:type="dxa"/>
            <w:gridSpan w:val="2"/>
          </w:tcPr>
          <w:p w:rsidR="00DD507A" w:rsidRDefault="00DD507A" w:rsidP="00DD50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Difference</w:t>
            </w:r>
          </w:p>
        </w:tc>
      </w:tr>
      <w:tr w:rsidR="00DD507A" w:rsidTr="00EC79EE">
        <w:tc>
          <w:tcPr>
            <w:tcW w:w="3438" w:type="dxa"/>
            <w:vMerge/>
          </w:tcPr>
          <w:p w:rsidR="00DD507A" w:rsidRDefault="00DD507A" w:rsidP="00EA67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DD507A" w:rsidRDefault="00DD507A" w:rsidP="00EA67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DD507A" w:rsidRDefault="00DD507A" w:rsidP="00EA67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DD507A" w:rsidRDefault="00DD507A" w:rsidP="00DD50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</w:t>
            </w:r>
          </w:p>
        </w:tc>
        <w:tc>
          <w:tcPr>
            <w:tcW w:w="1278" w:type="dxa"/>
          </w:tcPr>
          <w:p w:rsidR="00DD507A" w:rsidRDefault="00DD507A" w:rsidP="00DD50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</w:t>
            </w:r>
          </w:p>
        </w:tc>
      </w:tr>
      <w:tr w:rsidR="009D3E1F" w:rsidTr="00EC79EE">
        <w:tc>
          <w:tcPr>
            <w:tcW w:w="3438" w:type="dxa"/>
          </w:tcPr>
          <w:p w:rsidR="009D3E1F" w:rsidRDefault="00DD507A" w:rsidP="00EA67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after tax in the separate financial statement </w:t>
            </w:r>
          </w:p>
        </w:tc>
        <w:tc>
          <w:tcPr>
            <w:tcW w:w="1620" w:type="dxa"/>
          </w:tcPr>
          <w:p w:rsidR="009D3E1F" w:rsidRDefault="002D0859" w:rsidP="002D08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3E1F">
              <w:rPr>
                <w:rFonts w:ascii="Arial" w:hAnsi="Arial" w:cs="Arial"/>
                <w:sz w:val="20"/>
                <w:szCs w:val="20"/>
              </w:rPr>
              <w:t>8</w:t>
            </w:r>
            <w:r w:rsidR="00C15BA8">
              <w:rPr>
                <w:rFonts w:ascii="Arial" w:hAnsi="Arial" w:cs="Arial"/>
                <w:sz w:val="20"/>
                <w:szCs w:val="20"/>
              </w:rPr>
              <w:t>,</w:t>
            </w:r>
            <w:r w:rsidRPr="009D3E1F">
              <w:rPr>
                <w:rFonts w:ascii="Arial" w:hAnsi="Arial" w:cs="Arial"/>
                <w:sz w:val="20"/>
                <w:szCs w:val="20"/>
              </w:rPr>
              <w:t>036</w:t>
            </w:r>
            <w:r w:rsidR="00C15BA8">
              <w:rPr>
                <w:rFonts w:ascii="Arial" w:hAnsi="Arial" w:cs="Arial"/>
                <w:sz w:val="20"/>
                <w:szCs w:val="20"/>
              </w:rPr>
              <w:t>,</w:t>
            </w:r>
            <w:r w:rsidRPr="009D3E1F">
              <w:rPr>
                <w:rFonts w:ascii="Arial" w:hAnsi="Arial" w:cs="Arial"/>
                <w:sz w:val="20"/>
                <w:szCs w:val="20"/>
              </w:rPr>
              <w:t>556</w:t>
            </w:r>
            <w:r w:rsidR="00C15BA8">
              <w:rPr>
                <w:rFonts w:ascii="Arial" w:hAnsi="Arial" w:cs="Arial"/>
                <w:sz w:val="20"/>
                <w:szCs w:val="20"/>
              </w:rPr>
              <w:t>,</w:t>
            </w:r>
            <w:r w:rsidRPr="009D3E1F">
              <w:rPr>
                <w:rFonts w:ascii="Arial" w:hAnsi="Arial" w:cs="Arial"/>
                <w:sz w:val="20"/>
                <w:szCs w:val="20"/>
              </w:rPr>
              <w:t>856</w:t>
            </w:r>
          </w:p>
        </w:tc>
        <w:tc>
          <w:tcPr>
            <w:tcW w:w="1620" w:type="dxa"/>
          </w:tcPr>
          <w:p w:rsidR="009D3E1F" w:rsidRDefault="002D0859" w:rsidP="00EA67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3E1F">
              <w:rPr>
                <w:rFonts w:ascii="Arial" w:hAnsi="Arial" w:cs="Arial"/>
                <w:sz w:val="20"/>
                <w:szCs w:val="20"/>
              </w:rPr>
              <w:t>5</w:t>
            </w:r>
            <w:r w:rsidR="00C15BA8">
              <w:rPr>
                <w:rFonts w:ascii="Arial" w:hAnsi="Arial" w:cs="Arial"/>
                <w:sz w:val="20"/>
                <w:szCs w:val="20"/>
              </w:rPr>
              <w:t>,</w:t>
            </w:r>
            <w:r w:rsidRPr="009D3E1F">
              <w:rPr>
                <w:rFonts w:ascii="Arial" w:hAnsi="Arial" w:cs="Arial"/>
                <w:sz w:val="20"/>
                <w:szCs w:val="20"/>
              </w:rPr>
              <w:t>419</w:t>
            </w:r>
            <w:r w:rsidR="00C15BA8">
              <w:rPr>
                <w:rFonts w:ascii="Arial" w:hAnsi="Arial" w:cs="Arial"/>
                <w:sz w:val="20"/>
                <w:szCs w:val="20"/>
              </w:rPr>
              <w:t>,</w:t>
            </w:r>
            <w:r w:rsidRPr="009D3E1F">
              <w:rPr>
                <w:rFonts w:ascii="Arial" w:hAnsi="Arial" w:cs="Arial"/>
                <w:sz w:val="20"/>
                <w:szCs w:val="20"/>
              </w:rPr>
              <w:t>828</w:t>
            </w:r>
            <w:r w:rsidR="00C15BA8">
              <w:rPr>
                <w:rFonts w:ascii="Arial" w:hAnsi="Arial" w:cs="Arial"/>
                <w:sz w:val="20"/>
                <w:szCs w:val="20"/>
              </w:rPr>
              <w:t>,</w:t>
            </w:r>
            <w:r w:rsidRPr="009D3E1F">
              <w:rPr>
                <w:rFonts w:ascii="Arial" w:hAnsi="Arial" w:cs="Arial"/>
                <w:sz w:val="20"/>
                <w:szCs w:val="20"/>
              </w:rPr>
              <w:t>626</w:t>
            </w:r>
          </w:p>
        </w:tc>
        <w:tc>
          <w:tcPr>
            <w:tcW w:w="1620" w:type="dxa"/>
          </w:tcPr>
          <w:p w:rsidR="009D3E1F" w:rsidRDefault="002D0859" w:rsidP="002D08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3E1F">
              <w:rPr>
                <w:rFonts w:ascii="Arial" w:hAnsi="Arial" w:cs="Arial"/>
                <w:sz w:val="20"/>
                <w:szCs w:val="20"/>
              </w:rPr>
              <w:t>2</w:t>
            </w:r>
            <w:r w:rsidR="00C15BA8">
              <w:rPr>
                <w:rFonts w:ascii="Arial" w:hAnsi="Arial" w:cs="Arial"/>
                <w:sz w:val="20"/>
                <w:szCs w:val="20"/>
              </w:rPr>
              <w:t>,</w:t>
            </w:r>
            <w:r w:rsidRPr="009D3E1F">
              <w:rPr>
                <w:rFonts w:ascii="Arial" w:hAnsi="Arial" w:cs="Arial"/>
                <w:sz w:val="20"/>
                <w:szCs w:val="20"/>
              </w:rPr>
              <w:t>616</w:t>
            </w:r>
            <w:r w:rsidR="00C15BA8">
              <w:rPr>
                <w:rFonts w:ascii="Arial" w:hAnsi="Arial" w:cs="Arial"/>
                <w:sz w:val="20"/>
                <w:szCs w:val="20"/>
              </w:rPr>
              <w:t>,</w:t>
            </w:r>
            <w:r w:rsidRPr="009D3E1F">
              <w:rPr>
                <w:rFonts w:ascii="Arial" w:hAnsi="Arial" w:cs="Arial"/>
                <w:sz w:val="20"/>
                <w:szCs w:val="20"/>
              </w:rPr>
              <w:t>728</w:t>
            </w:r>
            <w:r w:rsidR="00C15BA8">
              <w:rPr>
                <w:rFonts w:ascii="Arial" w:hAnsi="Arial" w:cs="Arial"/>
                <w:sz w:val="20"/>
                <w:szCs w:val="20"/>
              </w:rPr>
              <w:t>,</w:t>
            </w:r>
            <w:r w:rsidRPr="009D3E1F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1278" w:type="dxa"/>
          </w:tcPr>
          <w:p w:rsidR="009D3E1F" w:rsidRDefault="00C15BA8" w:rsidP="00EA67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</w:t>
            </w:r>
            <w:r w:rsidR="002D0859" w:rsidRPr="009D3E1F">
              <w:rPr>
                <w:rFonts w:ascii="Arial" w:hAnsi="Arial" w:cs="Arial"/>
                <w:sz w:val="20"/>
                <w:szCs w:val="20"/>
              </w:rPr>
              <w:t>3%</w:t>
            </w:r>
          </w:p>
        </w:tc>
      </w:tr>
      <w:tr w:rsidR="002D0859" w:rsidTr="00EC79EE">
        <w:tc>
          <w:tcPr>
            <w:tcW w:w="3438" w:type="dxa"/>
          </w:tcPr>
          <w:p w:rsidR="002D0859" w:rsidRDefault="002D0859" w:rsidP="002D08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after tax in the consolidated financial statement </w:t>
            </w:r>
          </w:p>
        </w:tc>
        <w:tc>
          <w:tcPr>
            <w:tcW w:w="1620" w:type="dxa"/>
          </w:tcPr>
          <w:p w:rsidR="002D0859" w:rsidRDefault="002D0859" w:rsidP="002D08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3E1F">
              <w:rPr>
                <w:rFonts w:ascii="Arial" w:hAnsi="Arial" w:cs="Arial"/>
                <w:sz w:val="20"/>
                <w:szCs w:val="20"/>
              </w:rPr>
              <w:t>5</w:t>
            </w:r>
            <w:r w:rsidR="00C15BA8">
              <w:rPr>
                <w:rFonts w:ascii="Arial" w:hAnsi="Arial" w:cs="Arial"/>
                <w:sz w:val="20"/>
                <w:szCs w:val="20"/>
              </w:rPr>
              <w:t>,</w:t>
            </w:r>
            <w:r w:rsidRPr="009D3E1F">
              <w:rPr>
                <w:rFonts w:ascii="Arial" w:hAnsi="Arial" w:cs="Arial"/>
                <w:sz w:val="20"/>
                <w:szCs w:val="20"/>
              </w:rPr>
              <w:t>405</w:t>
            </w:r>
            <w:r w:rsidR="00C15BA8">
              <w:rPr>
                <w:rFonts w:ascii="Arial" w:hAnsi="Arial" w:cs="Arial"/>
                <w:sz w:val="20"/>
                <w:szCs w:val="20"/>
              </w:rPr>
              <w:t>,</w:t>
            </w:r>
            <w:r w:rsidRPr="009D3E1F">
              <w:rPr>
                <w:rFonts w:ascii="Arial" w:hAnsi="Arial" w:cs="Arial"/>
                <w:sz w:val="20"/>
                <w:szCs w:val="20"/>
              </w:rPr>
              <w:t>239</w:t>
            </w:r>
            <w:r w:rsidR="00C15BA8">
              <w:rPr>
                <w:rFonts w:ascii="Arial" w:hAnsi="Arial" w:cs="Arial"/>
                <w:sz w:val="20"/>
                <w:szCs w:val="20"/>
              </w:rPr>
              <w:t>,</w:t>
            </w:r>
            <w:r w:rsidRPr="009D3E1F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1620" w:type="dxa"/>
          </w:tcPr>
          <w:p w:rsidR="002D0859" w:rsidRDefault="002D0859" w:rsidP="00C15BA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3E1F">
              <w:rPr>
                <w:rFonts w:ascii="Arial" w:hAnsi="Arial" w:cs="Arial"/>
                <w:sz w:val="20"/>
                <w:szCs w:val="20"/>
              </w:rPr>
              <w:t>8</w:t>
            </w:r>
            <w:r w:rsidR="00C15BA8">
              <w:rPr>
                <w:rFonts w:ascii="Arial" w:hAnsi="Arial" w:cs="Arial"/>
                <w:sz w:val="20"/>
                <w:szCs w:val="20"/>
              </w:rPr>
              <w:t>,</w:t>
            </w:r>
            <w:r w:rsidRPr="009D3E1F">
              <w:rPr>
                <w:rFonts w:ascii="Arial" w:hAnsi="Arial" w:cs="Arial"/>
                <w:sz w:val="20"/>
                <w:szCs w:val="20"/>
              </w:rPr>
              <w:t>732</w:t>
            </w:r>
            <w:r w:rsidR="00C15BA8">
              <w:rPr>
                <w:rFonts w:ascii="Arial" w:hAnsi="Arial" w:cs="Arial"/>
                <w:sz w:val="20"/>
                <w:szCs w:val="20"/>
              </w:rPr>
              <w:t>,</w:t>
            </w:r>
            <w:r w:rsidRPr="009D3E1F">
              <w:rPr>
                <w:rFonts w:ascii="Arial" w:hAnsi="Arial" w:cs="Arial"/>
                <w:sz w:val="20"/>
                <w:szCs w:val="20"/>
              </w:rPr>
              <w:t>433</w:t>
            </w:r>
            <w:r w:rsidR="00C15BA8">
              <w:rPr>
                <w:rFonts w:ascii="Arial" w:hAnsi="Arial" w:cs="Arial"/>
                <w:sz w:val="20"/>
                <w:szCs w:val="20"/>
              </w:rPr>
              <w:t>,</w:t>
            </w:r>
            <w:r w:rsidRPr="009D3E1F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1620" w:type="dxa"/>
          </w:tcPr>
          <w:p w:rsidR="002D0859" w:rsidRDefault="00C15BA8" w:rsidP="002D08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-3,327,193,937</w:t>
            </w:r>
          </w:p>
        </w:tc>
        <w:tc>
          <w:tcPr>
            <w:tcW w:w="1278" w:type="dxa"/>
          </w:tcPr>
          <w:p w:rsidR="002D0859" w:rsidRDefault="00C15BA8" w:rsidP="002D08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-38.</w:t>
            </w:r>
            <w:r w:rsidR="002D0859" w:rsidRPr="009D3E1F">
              <w:rPr>
                <w:rFonts w:ascii="Arial" w:hAnsi="Arial" w:cs="Arial"/>
                <w:sz w:val="20"/>
                <w:szCs w:val="20"/>
              </w:rPr>
              <w:t>1%</w:t>
            </w:r>
          </w:p>
        </w:tc>
      </w:tr>
    </w:tbl>
    <w:p w:rsidR="009D3E1F" w:rsidRDefault="009D3E1F" w:rsidP="00EA67D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F6565" w:rsidRDefault="009D3E1F" w:rsidP="00EA67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D3E1F">
        <w:rPr>
          <w:rFonts w:ascii="Arial" w:hAnsi="Arial" w:cs="Arial"/>
          <w:sz w:val="20"/>
          <w:szCs w:val="20"/>
        </w:rPr>
        <w:t>1.  Profit after tax in</w:t>
      </w:r>
      <w:r w:rsidR="00FF6565">
        <w:rPr>
          <w:rFonts w:ascii="Arial" w:hAnsi="Arial" w:cs="Arial"/>
          <w:sz w:val="20"/>
          <w:szCs w:val="20"/>
        </w:rPr>
        <w:t xml:space="preserve"> the separate financial statement of the first quarter of 2020 increased by 48.</w:t>
      </w:r>
      <w:r w:rsidRPr="009D3E1F">
        <w:rPr>
          <w:rFonts w:ascii="Arial" w:hAnsi="Arial" w:cs="Arial"/>
          <w:sz w:val="20"/>
          <w:szCs w:val="20"/>
        </w:rPr>
        <w:t xml:space="preserve">3% </w:t>
      </w:r>
      <w:r w:rsidR="00FF6565">
        <w:rPr>
          <w:rFonts w:ascii="Arial" w:hAnsi="Arial" w:cs="Arial"/>
          <w:sz w:val="20"/>
          <w:szCs w:val="20"/>
        </w:rPr>
        <w:t>compared to</w:t>
      </w:r>
      <w:r w:rsidRPr="009D3E1F">
        <w:rPr>
          <w:rFonts w:ascii="Arial" w:hAnsi="Arial" w:cs="Arial"/>
          <w:sz w:val="20"/>
          <w:szCs w:val="20"/>
        </w:rPr>
        <w:t xml:space="preserve"> the same period in 2019 due to the following reasons: </w:t>
      </w:r>
    </w:p>
    <w:p w:rsidR="00155487" w:rsidRDefault="009D3E1F" w:rsidP="00EA67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D3E1F">
        <w:rPr>
          <w:rFonts w:ascii="Arial" w:hAnsi="Arial" w:cs="Arial"/>
          <w:sz w:val="20"/>
          <w:szCs w:val="20"/>
        </w:rPr>
        <w:t>The Corporation's production and business activities in Q</w:t>
      </w:r>
      <w:r w:rsidR="001054E5">
        <w:rPr>
          <w:rFonts w:ascii="Arial" w:hAnsi="Arial" w:cs="Arial"/>
          <w:sz w:val="20"/>
          <w:szCs w:val="20"/>
        </w:rPr>
        <w:t xml:space="preserve">.4/ 2019 maintained the stability and development. </w:t>
      </w:r>
      <w:r w:rsidRPr="009D3E1F">
        <w:rPr>
          <w:rFonts w:ascii="Arial" w:hAnsi="Arial" w:cs="Arial"/>
          <w:sz w:val="20"/>
          <w:szCs w:val="20"/>
        </w:rPr>
        <w:t>The Corporation's operations continue</w:t>
      </w:r>
      <w:r w:rsidR="001054E5">
        <w:rPr>
          <w:rFonts w:ascii="Arial" w:hAnsi="Arial" w:cs="Arial"/>
          <w:sz w:val="20"/>
          <w:szCs w:val="20"/>
        </w:rPr>
        <w:t>d</w:t>
      </w:r>
      <w:r w:rsidRPr="009D3E1F">
        <w:rPr>
          <w:rFonts w:ascii="Arial" w:hAnsi="Arial" w:cs="Arial"/>
          <w:sz w:val="20"/>
          <w:szCs w:val="20"/>
        </w:rPr>
        <w:t xml:space="preserve"> to be ef</w:t>
      </w:r>
      <w:r w:rsidR="001054E5">
        <w:rPr>
          <w:rFonts w:ascii="Arial" w:hAnsi="Arial" w:cs="Arial"/>
          <w:sz w:val="20"/>
          <w:szCs w:val="20"/>
        </w:rPr>
        <w:t>fective, and the Corporation had</w:t>
      </w:r>
      <w:r w:rsidRPr="009D3E1F">
        <w:rPr>
          <w:rFonts w:ascii="Arial" w:hAnsi="Arial" w:cs="Arial"/>
          <w:sz w:val="20"/>
          <w:szCs w:val="20"/>
        </w:rPr>
        <w:t xml:space="preserve"> other income from the Corporation's share transfer activities in a </w:t>
      </w:r>
      <w:r w:rsidR="00155487">
        <w:rPr>
          <w:rFonts w:ascii="Arial" w:hAnsi="Arial" w:cs="Arial"/>
          <w:sz w:val="20"/>
          <w:szCs w:val="20"/>
        </w:rPr>
        <w:t>number of joint-stock companies with capital contributed by the Corporation</w:t>
      </w:r>
      <w:bookmarkStart w:id="0" w:name="_GoBack"/>
      <w:bookmarkEnd w:id="0"/>
    </w:p>
    <w:p w:rsidR="009D3E1F" w:rsidRDefault="001A780A" w:rsidP="00EA67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Profit after tax in</w:t>
      </w:r>
      <w:r w:rsidR="009D3E1F" w:rsidRPr="009D3E1F">
        <w:rPr>
          <w:rFonts w:ascii="Arial" w:hAnsi="Arial" w:cs="Arial"/>
          <w:sz w:val="20"/>
          <w:szCs w:val="20"/>
        </w:rPr>
        <w:t xml:space="preserve"> the consolidated </w:t>
      </w:r>
      <w:r>
        <w:rPr>
          <w:rFonts w:ascii="Arial" w:hAnsi="Arial" w:cs="Arial"/>
          <w:sz w:val="20"/>
          <w:szCs w:val="20"/>
        </w:rPr>
        <w:t>financial statement</w:t>
      </w:r>
      <w:r w:rsidR="009D3E1F" w:rsidRPr="009D3E1F">
        <w:rPr>
          <w:rFonts w:ascii="Arial" w:hAnsi="Arial" w:cs="Arial"/>
          <w:sz w:val="20"/>
          <w:szCs w:val="20"/>
        </w:rPr>
        <w:t xml:space="preserve"> in the first quarter of 2020 </w:t>
      </w:r>
      <w:r>
        <w:rPr>
          <w:rFonts w:ascii="Arial" w:hAnsi="Arial" w:cs="Arial"/>
          <w:sz w:val="20"/>
          <w:szCs w:val="20"/>
        </w:rPr>
        <w:t>decreased by 38.1% compared to the same period in 2019 mainly due to the decrease in</w:t>
      </w:r>
      <w:r w:rsidR="009D3E1F" w:rsidRPr="009D3E1F">
        <w:rPr>
          <w:rFonts w:ascii="Arial" w:hAnsi="Arial" w:cs="Arial"/>
          <w:sz w:val="20"/>
          <w:szCs w:val="20"/>
        </w:rPr>
        <w:t xml:space="preserve"> the profit of the subsidiary compared to the previous period. </w:t>
      </w:r>
      <w:r w:rsidR="00E233EF">
        <w:rPr>
          <w:rFonts w:ascii="Arial" w:hAnsi="Arial" w:cs="Arial"/>
          <w:sz w:val="20"/>
          <w:szCs w:val="20"/>
        </w:rPr>
        <w:t>The s</w:t>
      </w:r>
      <w:r w:rsidR="009D3E1F" w:rsidRPr="009D3E1F">
        <w:rPr>
          <w:rFonts w:ascii="Arial" w:hAnsi="Arial" w:cs="Arial"/>
          <w:sz w:val="20"/>
          <w:szCs w:val="20"/>
        </w:rPr>
        <w:t>ub</w:t>
      </w:r>
      <w:r w:rsidR="00FA4FE2">
        <w:rPr>
          <w:rFonts w:ascii="Arial" w:hAnsi="Arial" w:cs="Arial"/>
          <w:sz w:val="20"/>
          <w:szCs w:val="20"/>
        </w:rPr>
        <w:t>sidiaries of the Corporation are</w:t>
      </w:r>
      <w:r w:rsidR="009D3E1F" w:rsidRPr="009D3E1F">
        <w:rPr>
          <w:rFonts w:ascii="Arial" w:hAnsi="Arial" w:cs="Arial"/>
          <w:sz w:val="20"/>
          <w:szCs w:val="20"/>
        </w:rPr>
        <w:t xml:space="preserve"> </w:t>
      </w:r>
      <w:r w:rsidR="00F36B9E">
        <w:rPr>
          <w:rFonts w:ascii="Arial" w:hAnsi="Arial" w:cs="Arial"/>
          <w:sz w:val="20"/>
          <w:szCs w:val="20"/>
        </w:rPr>
        <w:t>service</w:t>
      </w:r>
      <w:r w:rsidR="009D3E1F" w:rsidRPr="009D3E1F">
        <w:rPr>
          <w:rFonts w:ascii="Arial" w:hAnsi="Arial" w:cs="Arial"/>
          <w:sz w:val="20"/>
          <w:szCs w:val="20"/>
        </w:rPr>
        <w:t xml:space="preserve"> units</w:t>
      </w:r>
      <w:r w:rsidR="00F36B9E">
        <w:rPr>
          <w:rFonts w:ascii="Arial" w:hAnsi="Arial" w:cs="Arial"/>
          <w:sz w:val="20"/>
          <w:szCs w:val="20"/>
        </w:rPr>
        <w:t>,</w:t>
      </w:r>
      <w:r w:rsidR="009D3E1F" w:rsidRPr="009D3E1F">
        <w:rPr>
          <w:rFonts w:ascii="Arial" w:hAnsi="Arial" w:cs="Arial"/>
          <w:sz w:val="20"/>
          <w:szCs w:val="20"/>
        </w:rPr>
        <w:t xml:space="preserve"> </w:t>
      </w:r>
      <w:r w:rsidR="00F36B9E">
        <w:rPr>
          <w:rFonts w:ascii="Arial" w:hAnsi="Arial" w:cs="Arial"/>
          <w:sz w:val="20"/>
          <w:szCs w:val="20"/>
        </w:rPr>
        <w:t>the</w:t>
      </w:r>
      <w:r w:rsidR="009D3E1F" w:rsidRPr="009D3E1F">
        <w:rPr>
          <w:rFonts w:ascii="Arial" w:hAnsi="Arial" w:cs="Arial"/>
          <w:sz w:val="20"/>
          <w:szCs w:val="20"/>
        </w:rPr>
        <w:t xml:space="preserve"> Covid</w:t>
      </w:r>
      <w:r w:rsidR="00F36B9E">
        <w:rPr>
          <w:rFonts w:ascii="Arial" w:hAnsi="Arial" w:cs="Arial"/>
          <w:sz w:val="20"/>
          <w:szCs w:val="20"/>
        </w:rPr>
        <w:t>-</w:t>
      </w:r>
      <w:r w:rsidR="009D3E1F" w:rsidRPr="009D3E1F">
        <w:rPr>
          <w:rFonts w:ascii="Arial" w:hAnsi="Arial" w:cs="Arial"/>
          <w:sz w:val="20"/>
          <w:szCs w:val="20"/>
        </w:rPr>
        <w:t>19</w:t>
      </w:r>
      <w:r w:rsidR="00F36B9E">
        <w:rPr>
          <w:rFonts w:ascii="Arial" w:hAnsi="Arial" w:cs="Arial"/>
          <w:sz w:val="20"/>
          <w:szCs w:val="20"/>
        </w:rPr>
        <w:t xml:space="preserve"> epidemic</w:t>
      </w:r>
      <w:r w:rsidR="009D3E1F" w:rsidRPr="009D3E1F">
        <w:rPr>
          <w:rFonts w:ascii="Arial" w:hAnsi="Arial" w:cs="Arial"/>
          <w:sz w:val="20"/>
          <w:szCs w:val="20"/>
        </w:rPr>
        <w:t xml:space="preserve"> caused difficulties in the production and </w:t>
      </w:r>
      <w:r w:rsidR="00FA4FE2">
        <w:rPr>
          <w:rFonts w:ascii="Arial" w:hAnsi="Arial" w:cs="Arial"/>
          <w:sz w:val="20"/>
          <w:szCs w:val="20"/>
        </w:rPr>
        <w:t>sales</w:t>
      </w:r>
      <w:r w:rsidR="009D3E1F" w:rsidRPr="009D3E1F">
        <w:rPr>
          <w:rFonts w:ascii="Arial" w:hAnsi="Arial" w:cs="Arial"/>
          <w:sz w:val="20"/>
          <w:szCs w:val="20"/>
        </w:rPr>
        <w:t xml:space="preserve"> of goods and services of </w:t>
      </w:r>
      <w:r w:rsidR="00FA4FE2">
        <w:rPr>
          <w:rFonts w:ascii="Arial" w:hAnsi="Arial" w:cs="Arial"/>
          <w:sz w:val="20"/>
          <w:szCs w:val="20"/>
        </w:rPr>
        <w:t xml:space="preserve">the </w:t>
      </w:r>
      <w:r w:rsidR="00FA4FE2" w:rsidRPr="009D3E1F">
        <w:rPr>
          <w:rFonts w:ascii="Arial" w:hAnsi="Arial" w:cs="Arial"/>
          <w:sz w:val="20"/>
          <w:szCs w:val="20"/>
        </w:rPr>
        <w:t>Corporation</w:t>
      </w:r>
    </w:p>
    <w:sectPr w:rsidR="009D3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34DA"/>
    <w:rsid w:val="0002327A"/>
    <w:rsid w:val="00026B30"/>
    <w:rsid w:val="00041B1A"/>
    <w:rsid w:val="00073028"/>
    <w:rsid w:val="00076CCB"/>
    <w:rsid w:val="0008067D"/>
    <w:rsid w:val="00090ACE"/>
    <w:rsid w:val="000A58B1"/>
    <w:rsid w:val="000A79D8"/>
    <w:rsid w:val="000B0FD0"/>
    <w:rsid w:val="000B33BC"/>
    <w:rsid w:val="000E15ED"/>
    <w:rsid w:val="000E5BBD"/>
    <w:rsid w:val="0010357F"/>
    <w:rsid w:val="001054E5"/>
    <w:rsid w:val="0012502D"/>
    <w:rsid w:val="00125C9D"/>
    <w:rsid w:val="00155487"/>
    <w:rsid w:val="001654BA"/>
    <w:rsid w:val="001A017D"/>
    <w:rsid w:val="001A780A"/>
    <w:rsid w:val="001B2DAC"/>
    <w:rsid w:val="001E4D76"/>
    <w:rsid w:val="00204DDC"/>
    <w:rsid w:val="00217C3D"/>
    <w:rsid w:val="0024099C"/>
    <w:rsid w:val="00244C92"/>
    <w:rsid w:val="00256DF0"/>
    <w:rsid w:val="0025770D"/>
    <w:rsid w:val="0026711C"/>
    <w:rsid w:val="00283DFF"/>
    <w:rsid w:val="00293FEB"/>
    <w:rsid w:val="00297425"/>
    <w:rsid w:val="002B59F4"/>
    <w:rsid w:val="002D0859"/>
    <w:rsid w:val="002D2BA7"/>
    <w:rsid w:val="002E1D14"/>
    <w:rsid w:val="00303E63"/>
    <w:rsid w:val="00330005"/>
    <w:rsid w:val="00336B0D"/>
    <w:rsid w:val="00346788"/>
    <w:rsid w:val="00353B40"/>
    <w:rsid w:val="003812F4"/>
    <w:rsid w:val="00385717"/>
    <w:rsid w:val="003A771E"/>
    <w:rsid w:val="003B2570"/>
    <w:rsid w:val="00467BC0"/>
    <w:rsid w:val="004954D8"/>
    <w:rsid w:val="00496733"/>
    <w:rsid w:val="004A7E66"/>
    <w:rsid w:val="004B0E3B"/>
    <w:rsid w:val="004B5C61"/>
    <w:rsid w:val="004C6739"/>
    <w:rsid w:val="004C7900"/>
    <w:rsid w:val="004E68F1"/>
    <w:rsid w:val="005008A0"/>
    <w:rsid w:val="0057594E"/>
    <w:rsid w:val="0058021C"/>
    <w:rsid w:val="00591347"/>
    <w:rsid w:val="00594B24"/>
    <w:rsid w:val="00595C34"/>
    <w:rsid w:val="005A0A44"/>
    <w:rsid w:val="005B0276"/>
    <w:rsid w:val="005C1167"/>
    <w:rsid w:val="005E7D00"/>
    <w:rsid w:val="005F5436"/>
    <w:rsid w:val="006033FC"/>
    <w:rsid w:val="0060744D"/>
    <w:rsid w:val="0063149F"/>
    <w:rsid w:val="006623D8"/>
    <w:rsid w:val="00675C63"/>
    <w:rsid w:val="00680BC9"/>
    <w:rsid w:val="00695103"/>
    <w:rsid w:val="006E13A2"/>
    <w:rsid w:val="006E3B6D"/>
    <w:rsid w:val="006F778A"/>
    <w:rsid w:val="00701C87"/>
    <w:rsid w:val="00701F46"/>
    <w:rsid w:val="007028B7"/>
    <w:rsid w:val="0072584C"/>
    <w:rsid w:val="00740A0C"/>
    <w:rsid w:val="00745D9A"/>
    <w:rsid w:val="00761E26"/>
    <w:rsid w:val="00795EA8"/>
    <w:rsid w:val="007D449B"/>
    <w:rsid w:val="007F3C6C"/>
    <w:rsid w:val="007F6A0E"/>
    <w:rsid w:val="007F7DB7"/>
    <w:rsid w:val="00804583"/>
    <w:rsid w:val="008078B6"/>
    <w:rsid w:val="00820328"/>
    <w:rsid w:val="00831901"/>
    <w:rsid w:val="0084703C"/>
    <w:rsid w:val="008574C3"/>
    <w:rsid w:val="0088081B"/>
    <w:rsid w:val="008854CF"/>
    <w:rsid w:val="00887B6C"/>
    <w:rsid w:val="00887C3A"/>
    <w:rsid w:val="0089624F"/>
    <w:rsid w:val="008A40F1"/>
    <w:rsid w:val="008B085F"/>
    <w:rsid w:val="008B17BB"/>
    <w:rsid w:val="008C2B4C"/>
    <w:rsid w:val="008D5C54"/>
    <w:rsid w:val="008E2D1E"/>
    <w:rsid w:val="00900C3E"/>
    <w:rsid w:val="0091483D"/>
    <w:rsid w:val="00981C95"/>
    <w:rsid w:val="009C1200"/>
    <w:rsid w:val="009D3E1F"/>
    <w:rsid w:val="00A16A85"/>
    <w:rsid w:val="00A308E4"/>
    <w:rsid w:val="00A31456"/>
    <w:rsid w:val="00A62855"/>
    <w:rsid w:val="00A81EB3"/>
    <w:rsid w:val="00AA01BA"/>
    <w:rsid w:val="00AF67BE"/>
    <w:rsid w:val="00B22DA5"/>
    <w:rsid w:val="00B40E78"/>
    <w:rsid w:val="00B82455"/>
    <w:rsid w:val="00BA2C42"/>
    <w:rsid w:val="00BA721C"/>
    <w:rsid w:val="00BC16A6"/>
    <w:rsid w:val="00BF30C1"/>
    <w:rsid w:val="00C04449"/>
    <w:rsid w:val="00C075A7"/>
    <w:rsid w:val="00C13F9F"/>
    <w:rsid w:val="00C15BA8"/>
    <w:rsid w:val="00C324E9"/>
    <w:rsid w:val="00C72FFB"/>
    <w:rsid w:val="00C761E0"/>
    <w:rsid w:val="00CA41E5"/>
    <w:rsid w:val="00CA6F06"/>
    <w:rsid w:val="00CC15D8"/>
    <w:rsid w:val="00CD493C"/>
    <w:rsid w:val="00D06CA1"/>
    <w:rsid w:val="00D61AB5"/>
    <w:rsid w:val="00D778AE"/>
    <w:rsid w:val="00DA6845"/>
    <w:rsid w:val="00DD507A"/>
    <w:rsid w:val="00DE0692"/>
    <w:rsid w:val="00E0363A"/>
    <w:rsid w:val="00E11EBD"/>
    <w:rsid w:val="00E1367F"/>
    <w:rsid w:val="00E154B3"/>
    <w:rsid w:val="00E233EF"/>
    <w:rsid w:val="00E36A48"/>
    <w:rsid w:val="00E46F08"/>
    <w:rsid w:val="00E534B9"/>
    <w:rsid w:val="00EA098E"/>
    <w:rsid w:val="00EA67D4"/>
    <w:rsid w:val="00EA6E4A"/>
    <w:rsid w:val="00EC79EE"/>
    <w:rsid w:val="00ED31AF"/>
    <w:rsid w:val="00EE0CC2"/>
    <w:rsid w:val="00EF7457"/>
    <w:rsid w:val="00F02E19"/>
    <w:rsid w:val="00F163FC"/>
    <w:rsid w:val="00F36B9E"/>
    <w:rsid w:val="00F44E86"/>
    <w:rsid w:val="00F61528"/>
    <w:rsid w:val="00F655B9"/>
    <w:rsid w:val="00F85153"/>
    <w:rsid w:val="00F9058F"/>
    <w:rsid w:val="00FA4FE2"/>
    <w:rsid w:val="00FD2D19"/>
    <w:rsid w:val="00FD731F"/>
    <w:rsid w:val="00FE5981"/>
    <w:rsid w:val="00FF1523"/>
    <w:rsid w:val="00FF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344AA8-8090-498C-BC3C-E336F124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139</cp:revision>
  <dcterms:created xsi:type="dcterms:W3CDTF">2019-10-16T10:03:00Z</dcterms:created>
  <dcterms:modified xsi:type="dcterms:W3CDTF">2020-05-06T03:38:00Z</dcterms:modified>
</cp:coreProperties>
</file>